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Recognition &amp; feedback culture</w:t>
      </w:r>
    </w:p>
    <w:p>
      <w:pPr>
        <w:spacing w:after="60"/>
      </w:pPr>
      <w:r>
        <w:rPr>
          <w:sz w:val="17"/>
          <w:szCs w:val="17"/>
          <w:color w:val="6B7076"/>
        </w:rPr>
        <w:t xml:space="preserve">Storyboard · demo module</w:t>
      </w:r>
    </w:p>
    <w:p>
      <w:pPr>
        <w:spacing w:after="280"/>
      </w:pPr>
      <w:r>
        <w:rPr>
          <w:sz w:val="22"/>
          <w:szCs w:val="22"/>
          <w:color w:val="33353A"/>
        </w:rPr>
        <w:t xml:space="preserve">Storyboard for the demo module: the intro block and the branching-dialogue trainer scenario. Build reference for Rise 360 / Storyline 360.</w:t>
      </w:r>
    </w:p>
    <w:p>
      <w:pPr>
        <w:spacing w:after="280"/>
      </w:pPr>
      <w:r>
        <w:rPr>
          <w:color w:val="6B7076"/>
          <w:sz w:val="19"/>
          <w:szCs w:val="19"/>
        </w:rPr>
        <w:t xml:space="preserve">Format — micro-learning + weekly trainer   ·   </w:t>
      </w:r>
      <w:r>
        <w:rPr>
          <w:color w:val="6B7076"/>
          <w:sz w:val="19"/>
          <w:szCs w:val="19"/>
        </w:rPr>
        <w:t xml:space="preserve">Tools — Rise 360 · Storyline 360   ·   </w:t>
      </w:r>
      <w:r>
        <w:rPr>
          <w:color w:val="6B7076"/>
          <w:sz w:val="19"/>
          <w:szCs w:val="19"/>
        </w:rPr>
        <w:t xml:space="preserve">Context — cross-industry, EN-ready   ·   </w:t>
      </w:r>
      <w:r>
        <w:rPr>
          <w:color w:val="6B7076"/>
          <w:sz w:val="19"/>
          <w:szCs w:val="19"/>
        </w:rPr>
        <w:t xml:space="preserve">Version — demo v1</w:t>
      </w:r>
    </w:p>
    <w:tbl>
      <w:tblPr>
        <w:tblW w:w="0" w:type="auto"/>
        <w:tblBorders>
          <w:top w:val="single" w:sz="4" w:space="0" w:color="E3E5E8"/>
          <w:left w:val="single" w:sz="4" w:space="0" w:color="E3E5E8"/>
          <w:bottom w:val="single" w:sz="4" w:space="0" w:color="E3E5E8"/>
          <w:right w:val="single" w:sz="4" w:space="0" w:color="E3E5E8"/>
        </w:tblBorders>
        <w:tblCellMar>
          <w:top w:w="140" w:type="dxa"/>
          <w:left w:w="160" w:type="dxa"/>
          <w:bottom w:w="140" w:type="dxa"/>
          <w:right w:w="160" w:type="dxa"/>
        </w:tblCellMar>
      </w:tblPr>
      <w:tblGrid>
        <w:gridCol w:w="9000"/>
      </w:tblGrid>
      <w:tr>
        <w:tc>
          <w:tcPr>
            <w:tcW w:w="9000" w:type="dxa"/>
            <w:shd w:val="clear" w:color="auto" w:fill="F1F2F4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About the context choice: The scenario is deliberately industry-agnostic — it uses a universal office situation ("an employee catches a mistake before it reaches the client"), equally clear to a marketer, consultant, developer, or accountant. Keep names and phrasing neutral through production so the scenario stays portable across teams.</w:t>
            </w:r>
          </w:p>
        </w:tc>
      </w:tr>
    </w:tbl>
    <w:p>
      <w:pPr>
        <w:spacing w:after="160"/>
      </w:pPr>
    </w:p>
    <w:p>
      <w:pPr>
        <w:pStyle w:val="Heading2"/>
      </w:pPr>
      <w:r>
        <w:t xml:space="preserve">Part 1 · Rise · intro module — How to give feedback that works</w:t>
      </w:r>
    </w:p>
    <w:p>
      <w:pPr>
        <w:spacing w:after="240"/>
      </w:pPr>
      <w:r>
        <w:rPr>
          <w:sz w:val="21"/>
          <w:szCs w:val="21"/>
          <w:color w:val="6B7076"/>
        </w:rPr>
        <w:t xml:space="preserve">Five screens, one throughline: recognition fails when it’s vague, a simple model fixes that, and the model itself has failure modes worth naming before practice starts.</w:t>
      </w:r>
    </w:p>
    <w:p>
      <w:pPr>
        <w:pStyle w:val="Heading3"/>
      </w:pPr>
      <w:r>
        <w:t xml:space="preserve">Screen 1 — The hook</w:t>
      </w:r>
    </w:p>
    <w:p>
      <w:pPr>
        <w:spacing w:after="120"/>
      </w:pPr>
      <w:r>
        <w:rPr>
          <w:sz w:val="22"/>
          <w:szCs w:val="22"/>
          <w:b/>
        </w:rPr>
        <w:t xml:space="preserve">You already give feedback. Most of it doesn’t work.</w:t>
      </w:r>
    </w:p>
    <w:p>
      <w:pPr>
        <w:spacing w:after="100"/>
      </w:pPr>
      <w:r>
        <w:rPr>
          <w:sz w:val="21"/>
          <w:szCs w:val="21"/>
        </w:rPr>
        <w:t xml:space="preserve">65% of employees say they received no recognition at all last year.</w:t>
      </w:r>
    </w:p>
    <w:p>
      <w:pPr>
        <w:spacing w:after="100"/>
      </w:pPr>
      <w:r>
        <w:rPr>
          <w:sz w:val="21"/>
          <w:szCs w:val="21"/>
        </w:rPr>
        <w:t xml:space="preserve">Left unaddressed, the disengagement it causes can cost a company up to $16.1M per 10,000 employees.</w:t>
      </w:r>
    </w:p>
    <w:p>
      <w:pPr>
        <w:spacing w:after="120"/>
      </w:pPr>
      <w:r>
        <w:rPr>
          <w:sz w:val="21"/>
          <w:szCs w:val="21"/>
        </w:rPr>
        <w:t xml:space="preserve">This module is about the other 35% — and one habit that gets you there.</w:t>
      </w:r>
    </w:p>
    <w:p>
      <w:pPr>
        <w:spacing w:after="280"/>
      </w:pPr>
      <w:r>
        <w:rPr>
          <w:sz w:val="18"/>
          <w:szCs w:val="18"/>
          <w:color w:val="6B7076"/>
          <w:i/>
        </w:rPr>
        <w:t xml:space="preserve">dev note: static text screen, no interaction. "Continue" advances to screen 2.</w:t>
      </w:r>
    </w:p>
    <w:p>
      <w:pPr>
        <w:pStyle w:val="Heading3"/>
      </w:pPr>
      <w:r>
        <w:t xml:space="preserve">Screen 2 — The habit: specific over generic</w:t>
      </w:r>
    </w:p>
    <w:p>
      <w:pPr>
        <w:spacing w:after="120"/>
      </w:pPr>
      <w:r>
        <w:rPr>
          <w:sz w:val="21"/>
          <w:szCs w:val="21"/>
        </w:rPr>
        <w:t xml:space="preserve">Here’s why most of it doesn’t work: it’s too generic to act on. "Great job" doesn’t tell anyone what to repeat — the brain can’t file away an adjective, only an action.</w:t>
      </w:r>
    </w:p>
    <w:tbl>
      <w:tblPr>
        <w:tblW w:w="0" w:type="auto"/>
        <w:tblBorders>
          <w:top w:val="single" w:sz="4" w:space="0" w:color="E3E5E8"/>
          <w:left w:val="single" w:sz="4" w:space="0" w:color="E3E5E8"/>
          <w:bottom w:val="single" w:sz="4" w:space="0" w:color="E3E5E8"/>
          <w:right w:val="single" w:sz="4" w:space="0" w:color="E3E5E8"/>
        </w:tblBorders>
        <w:tblCellMar>
          <w:top w:w="140" w:type="dxa"/>
          <w:left w:w="160" w:type="dxa"/>
          <w:bottom w:w="140" w:type="dxa"/>
          <w:right w:w="160" w:type="dxa"/>
        </w:tblCellMar>
      </w:tblPr>
      <w:tblGrid>
        <w:gridCol w:w="9000"/>
      </w:tblGrid>
      <w:tr>
        <w:tc>
          <w:tcPr>
            <w:tcW w:w="9000" w:type="dxa"/>
            <w:shd w:val="clear" w:color="auto" w:fill="F1F2F4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✕ "Great work on the project!"</w:t>
            </w:r>
          </w:p>
        </w:tc>
      </w:tr>
    </w:tbl>
    <w:p>
      <w:pPr>
        <w:spacing w:after="160"/>
      </w:pPr>
    </w:p>
    <w:tbl>
      <w:tblPr>
        <w:tblW w:w="0" w:type="auto"/>
        <w:tblBorders>
          <w:top w:val="single" w:sz="4" w:space="0" w:color="E3E5E8"/>
          <w:left w:val="single" w:sz="4" w:space="0" w:color="E3E5E8"/>
          <w:bottom w:val="single" w:sz="4" w:space="0" w:color="E3E5E8"/>
          <w:right w:val="single" w:sz="4" w:space="0" w:color="E3E5E8"/>
        </w:tblBorders>
        <w:tblCellMar>
          <w:top w:w="140" w:type="dxa"/>
          <w:left w:w="160" w:type="dxa"/>
          <w:bottom w:w="140" w:type="dxa"/>
          <w:right w:w="160" w:type="dxa"/>
        </w:tblCellMar>
      </w:tblPr>
      <w:tblGrid>
        <w:gridCol w:w="9000"/>
      </w:tblGrid>
      <w:tr>
        <w:tc>
          <w:tcPr>
            <w:tcW w:w="9000" w:type="dxa"/>
            <w:shd w:val="clear" w:color="auto" w:fill="F1F2F4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✓ "You caught the numbers error in the client report before it went out — that saved us from an awkward correction after delivery"</w:t>
            </w:r>
          </w:p>
        </w:tc>
      </w:tr>
    </w:tbl>
    <w:p>
      <w:pPr>
        <w:spacing w:after="160"/>
      </w:pPr>
    </w:p>
    <w:p>
      <w:pPr>
        <w:spacing w:after="280"/>
      </w:pPr>
      <w:r>
        <w:rPr>
          <w:sz w:val="18"/>
          <w:szCs w:val="18"/>
          <w:color w:val="6B7076"/>
          <w:i/>
        </w:rPr>
        <w:t xml:space="preserve">dev note: the two examples reveal in sequence on click, ✕ first, then ✓. The ✓ line is the same case screen 3 breaks down.</w:t>
      </w:r>
    </w:p>
    <w:p>
      <w:pPr>
        <w:pStyle w:val="Heading3"/>
      </w:pPr>
      <w:r>
        <w:t xml:space="preserve">Screen 3 — The SBI model</w:t>
      </w:r>
    </w:p>
    <w:p>
      <w:pPr>
        <w:spacing w:after="120"/>
      </w:pPr>
      <w:r>
        <w:rPr>
          <w:sz w:val="21"/>
          <w:szCs w:val="21"/>
        </w:rPr>
        <w:t xml:space="preserve">That "✓" line wasn’t luck — it followed a structure. Three parts, in order, every time:</w:t>
      </w:r>
    </w:p>
    <w:p>
      <w:pPr>
        <w:spacing w:after="120"/>
      </w:pPr>
      <w:r>
        <w:rPr>
          <w:b/>
          <w:sz w:val="21"/>
          <w:szCs w:val="21"/>
        </w:rPr>
        <w:t xml:space="preserve">Situation</w:t>
      </w:r>
      <w:r>
        <w:rPr>
          <w:sz w:val="21"/>
          <w:szCs w:val="21"/>
        </w:rPr>
        <w:t xml:space="preserve"> — "Yesterday, finishing the client report an hour before deadline" · </w:t>
      </w:r>
      <w:r>
        <w:rPr>
          <w:b/>
          <w:sz w:val="21"/>
          <w:szCs w:val="21"/>
        </w:rPr>
        <w:t xml:space="preserve">Behavior</w:t>
      </w:r>
      <w:r>
        <w:rPr>
          <w:sz w:val="21"/>
          <w:szCs w:val="21"/>
        </w:rPr>
        <w:t xml:space="preserve"> — "you caught a data error and fixed it" · </w:t>
      </w:r>
      <w:r>
        <w:rPr>
          <w:b/>
          <w:sz w:val="21"/>
          <w:szCs w:val="21"/>
        </w:rPr>
        <w:t xml:space="preserve">Impact</w:t>
      </w:r>
      <w:r>
        <w:rPr>
          <w:sz w:val="21"/>
          <w:szCs w:val="21"/>
        </w:rPr>
        <w:t xml:space="preserve"> — "that saved us from sending the client something wrong."</w:t>
      </w:r>
    </w:p>
    <w:p>
      <w:pPr>
        <w:spacing w:after="280"/>
      </w:pPr>
      <w:r>
        <w:rPr>
          <w:sz w:val="18"/>
          <w:szCs w:val="18"/>
          <w:color w:val="6B7076"/>
          <w:i/>
        </w:rPr>
        <w:t xml:space="preserve">dev note: click-to-reveal, one label at a time, each label highlighting the matching clause in the screen-2 quote above it.</w:t>
      </w:r>
    </w:p>
    <w:p>
      <w:pPr>
        <w:pStyle w:val="Heading3"/>
      </w:pPr>
      <w:r>
        <w:t xml:space="preserve">Screen 4 — Where SBI still goes wrong</w:t>
      </w:r>
    </w:p>
    <w:p>
      <w:pPr>
        <w:spacing w:after="120"/>
      </w:pPr>
      <w:r>
        <w:rPr>
          <w:sz w:val="21"/>
          <w:szCs w:val="21"/>
        </w:rPr>
        <w:t xml:space="preserve">Knowing the structure isn’t enough — most people who "use SBI" still slip on one of these:</w:t>
      </w:r>
    </w:p>
    <w:p>
      <w:pPr>
        <w:numPr>
          <w:ilvl w:val="0"/>
          <w:numId w:val="1"/>
        </w:numPr>
        <w:spacing w:after="80"/>
      </w:pPr>
      <w:r>
        <w:rPr>
          <w:sz w:val="21"/>
          <w:szCs w:val="21"/>
        </w:rPr>
        <w:t xml:space="preserve">Skipping Impact — stopping at "you fixed the error" without saying why it mattered</w:t>
      </w:r>
    </w:p>
    <w:p>
      <w:pPr>
        <w:numPr>
          <w:ilvl w:val="0"/>
          <w:numId w:val="1"/>
        </w:numPr>
        <w:spacing w:after="80"/>
      </w:pPr>
      <w:r>
        <w:rPr>
          <w:sz w:val="21"/>
          <w:szCs w:val="21"/>
        </w:rPr>
        <w:t xml:space="preserve">Delivering it late — SBI a month later reads as a performance review, not recognition</w:t>
      </w:r>
    </w:p>
    <w:p>
      <w:pPr>
        <w:numPr>
          <w:ilvl w:val="0"/>
          <w:numId w:val="1"/>
        </w:numPr>
        <w:spacing w:after="80"/>
      </w:pPr>
      <w:r>
        <w:rPr>
          <w:sz w:val="21"/>
          <w:szCs w:val="21"/>
        </w:rPr>
        <w:t xml:space="preserve">Crediting the outcome, not the behavior — "the report was great" instead of naming what the person did</w:t>
      </w:r>
    </w:p>
    <w:p>
      <w:pPr>
        <w:numPr>
          <w:ilvl w:val="0"/>
          <w:numId w:val="1"/>
        </w:numPr>
        <w:spacing w:after="80"/>
      </w:pPr>
      <w:r>
        <w:rPr>
          <w:sz w:val="21"/>
          <w:szCs w:val="21"/>
        </w:rPr>
        <w:t xml:space="preserve">Defaulting to public praise — some people would rather hear specific feedback one-on-one</w:t>
      </w:r>
    </w:p>
    <w:p>
      <w:pPr>
        <w:spacing w:after="280"/>
      </w:pPr>
      <w:r>
        <w:rPr>
          <w:sz w:val="18"/>
          <w:szCs w:val="18"/>
          <w:color w:val="6B7076"/>
          <w:i/>
        </w:rPr>
        <w:t xml:space="preserve">dev note: four-item accordion or click-reveal list; no branching, static reference.</w:t>
      </w:r>
    </w:p>
    <w:p>
      <w:pPr>
        <w:pStyle w:val="Heading3"/>
      </w:pPr>
      <w:r>
        <w:t xml:space="preserve">Screen 5 — Moving to practice</w:t>
      </w:r>
    </w:p>
    <w:p>
      <w:pPr>
        <w:spacing w:after="120"/>
      </w:pPr>
      <w:r>
        <w:rPr>
          <w:sz w:val="22"/>
          <w:szCs w:val="22"/>
          <w:b/>
        </w:rPr>
        <w:t xml:space="preserve">You know the model. Now you’ll use it.</w:t>
      </w:r>
    </w:p>
    <w:p>
      <w:pPr>
        <w:spacing w:after="120"/>
      </w:pPr>
      <w:r>
        <w:rPr>
          <w:sz w:val="21"/>
          <w:szCs w:val="21"/>
        </w:rPr>
        <w:t xml:space="preserve">Starting this week, a new situation unlocks every week. Each one puts you in the moment, before you’ve had time to plan your words — the same way real recognition happens on the job.</w:t>
      </w:r>
    </w:p>
    <w:p>
      <w:pPr>
        <w:spacing w:after="280"/>
      </w:pPr>
      <w:r>
        <w:rPr>
          <w:sz w:val="18"/>
          <w:szCs w:val="18"/>
          <w:color w:val="6B7076"/>
          <w:i/>
        </w:rPr>
        <w:t xml:space="preserve">dev note: "Start situation 1" button routes into the Storyline trainer (Part 2). Module completion for Rise fires here, independent of trainer completion.</w:t>
      </w:r>
    </w:p>
    <w:p>
      <w:pPr>
        <w:pStyle w:val="Heading2"/>
      </w:pPr>
      <w:r>
        <w:t xml:space="preserve">Part 2 · Storyline · trainer #1 — The Last-Minute Catch</w:t>
      </w:r>
    </w:p>
    <w:p>
      <w:pPr>
        <w:spacing w:after="240"/>
      </w:pPr>
      <w:r>
        <w:rPr>
          <w:sz w:val="21"/>
          <w:szCs w:val="21"/>
          <w:color w:val="6B7076"/>
        </w:rPr>
        <w:t xml:space="preserve">A branching dialogue with three decision points, character states, and a debrief after each line.</w:t>
      </w:r>
    </w:p>
    <w:p>
      <w:pPr>
        <w:pStyle w:val="Heading3"/>
      </w:pPr>
      <w:r>
        <w:t xml:space="preserve">Branching map — trainer #1</w:t>
      </w:r>
    </w:p>
    <w:p>
      <w:pPr>
        <w:ind w:left="300"/>
        <w:spacing w:after="100"/>
      </w:pPr>
      <w:r>
        <w:rPr>
          <w:b/>
          <w:color w:val="33353A"/>
          <w:sz w:val="20"/>
          <w:szCs w:val="20"/>
        </w:rPr>
        <w:t xml:space="preserve">Situation screen  </w:t>
      </w:r>
      <w:r>
        <w:rPr>
          <w:color w:val="6B7076"/>
          <w:sz w:val="19"/>
          <w:szCs w:val="19"/>
        </w:rPr>
        <w:t xml:space="preserve">→ Decision point 1</w:t>
      </w:r>
    </w:p>
    <w:p>
      <w:pPr>
        <w:ind w:left="700"/>
        <w:spacing w:after="100"/>
      </w:pPr>
      <w:r>
        <w:rPr>
          <w:b/>
          <w:color w:val="33353A"/>
          <w:sz w:val="20"/>
          <w:szCs w:val="20"/>
        </w:rPr>
        <w:t xml:space="preserve">A · generic praise  </w:t>
      </w:r>
      <w:r>
        <w:rPr>
          <w:color w:val="6B7076"/>
          <w:sz w:val="19"/>
          <w:szCs w:val="19"/>
        </w:rPr>
        <w:t xml:space="preserve">→ Final screen</w:t>
      </w:r>
    </w:p>
    <w:p>
      <w:pPr>
        <w:ind w:left="700"/>
        <w:spacing w:after="100"/>
      </w:pPr>
      <w:r>
        <w:rPr>
          <w:b/>
          <w:color w:val="8A6D00"/>
          <w:sz w:val="20"/>
          <w:szCs w:val="20"/>
        </w:rPr>
        <w:t xml:space="preserve">B · SBI (recommended)  </w:t>
      </w:r>
      <w:r>
        <w:rPr>
          <w:color w:val="6B7076"/>
          <w:sz w:val="19"/>
          <w:szCs w:val="19"/>
        </w:rPr>
        <w:t xml:space="preserve">→ Alex deflects → Decision point 2</w:t>
      </w:r>
    </w:p>
    <w:p>
      <w:pPr>
        <w:ind w:left="1100"/>
        <w:spacing w:after="100"/>
      </w:pPr>
      <w:r>
        <w:rPr>
          <w:b/>
          <w:color w:val="33353A"/>
          <w:sz w:val="20"/>
          <w:szCs w:val="20"/>
        </w:rPr>
        <w:t xml:space="preserve">A · let it drop  </w:t>
      </w:r>
      <w:r>
        <w:rPr>
          <w:color w:val="6B7076"/>
          <w:sz w:val="19"/>
          <w:szCs w:val="19"/>
        </w:rPr>
        <w:t xml:space="preserve">→ Final screen</w:t>
      </w:r>
    </w:p>
    <w:p>
      <w:pPr>
        <w:ind w:left="1100"/>
        <w:spacing w:after="100"/>
      </w:pPr>
      <w:r>
        <w:rPr>
          <w:b/>
          <w:color w:val="8A6D00"/>
          <w:sz w:val="20"/>
          <w:szCs w:val="20"/>
        </w:rPr>
        <w:t xml:space="preserve">B · hold the specifics  </w:t>
      </w:r>
      <w:r>
        <w:rPr>
          <w:color w:val="6B7076"/>
          <w:sz w:val="19"/>
          <w:szCs w:val="19"/>
        </w:rPr>
        <w:t xml:space="preserve">→ Alex reflects → Decision point 3</w:t>
      </w:r>
    </w:p>
    <w:p>
      <w:pPr>
        <w:ind w:left="1500"/>
        <w:spacing w:after="100"/>
      </w:pPr>
      <w:r>
        <w:rPr>
          <w:b/>
          <w:color w:val="33353A"/>
          <w:sz w:val="20"/>
          <w:szCs w:val="20"/>
        </w:rPr>
        <w:t xml:space="preserve">A · nothing more  </w:t>
      </w:r>
      <w:r>
        <w:rPr>
          <w:color w:val="6B7076"/>
          <w:sz w:val="19"/>
          <w:szCs w:val="19"/>
        </w:rPr>
        <w:t xml:space="preserve">→ Final screen</w:t>
      </w:r>
    </w:p>
    <w:p>
      <w:pPr>
        <w:ind w:left="1500"/>
        <w:spacing w:after="100"/>
      </w:pPr>
      <w:r>
        <w:rPr>
          <w:b/>
          <w:color w:val="8A6D00"/>
          <w:sz w:val="20"/>
          <w:szCs w:val="20"/>
        </w:rPr>
        <w:t xml:space="preserve">B · forward-looking line  </w:t>
      </w:r>
      <w:r>
        <w:rPr>
          <w:color w:val="6B7076"/>
          <w:sz w:val="19"/>
          <w:szCs w:val="19"/>
        </w:rPr>
        <w:t xml:space="preserve">→ Final screen</w:t>
      </w:r>
    </w:p>
    <w:p>
      <w:pPr>
        <w:ind w:left="700"/>
        <w:spacing w:after="100"/>
      </w:pPr>
      <w:r>
        <w:rPr>
          <w:b/>
          <w:color w:val="6B7076"/>
          <w:sz w:val="20"/>
          <w:szCs w:val="20"/>
        </w:rPr>
        <w:t xml:space="preserve">C · undercutting the effort  </w:t>
      </w:r>
      <w:r>
        <w:rPr>
          <w:color w:val="6B7076"/>
          <w:sz w:val="19"/>
          <w:szCs w:val="19"/>
        </w:rPr>
        <w:t xml:space="preserve">→ Final screen</w:t>
      </w:r>
    </w:p>
    <w:p>
      <w:pPr>
        <w:spacing w:after="200"/>
      </w:pPr>
      <w:r>
        <w:t xml:space="preserve"/>
      </w:r>
    </w:p>
    <w:p>
      <w:pPr>
        <w:pStyle w:val="Heading3"/>
      </w:pPr>
      <w:r>
        <w:t xml:space="preserve">Screen 1 · situation</w:t>
      </w:r>
    </w:p>
    <w:p>
      <w:pPr>
        <w:spacing w:after="120"/>
      </w:pPr>
      <w:r>
        <w:rPr>
          <w:sz w:val="21"/>
          <w:szCs w:val="21"/>
        </w:rPr>
        <w:t xml:space="preserve">"Your team member, Alex, was finishing a report for an important client an hour before the deadline. Alex noticed a data error that would have gone unnoticed by anyone else, fixed it, and re-checked the whole report before sending it out on time. The next morning, you see Alex at their desk."</w:t>
      </w:r>
    </w:p>
    <w:p>
      <w:pPr>
        <w:spacing w:after="280"/>
      </w:pPr>
      <w:r>
        <w:rPr>
          <w:sz w:val="18"/>
          <w:szCs w:val="18"/>
          <w:color w:val="6B7076"/>
          <w:i/>
        </w:rPr>
        <w:t xml:space="preserve">dev note: static illustration or a short animated scene; advances on a "Continue" click.</w:t>
      </w:r>
    </w:p>
    <w:p>
      <w:pPr>
        <w:pStyle w:val="Heading3"/>
      </w:pPr>
      <w:r>
        <w:t xml:space="preserve">Decision point 1 — what do you say to Alex?</w:t>
      </w:r>
    </w:p>
    <w:p>
      <w:pPr>
        <w:spacing w:after="80"/>
      </w:pPr>
      <w:r>
        <w:rPr>
          <w:sz w:val="19"/>
          <w:szCs w:val="19"/>
          <w:color w:val="33353A"/>
          <w:b/>
        </w:rPr>
        <w:t xml:space="preserve">Option A · generic praise</w:t>
      </w:r>
    </w:p>
    <w:p>
      <w:pPr>
        <w:spacing w:after="80"/>
      </w:pPr>
      <w:r>
        <w:rPr>
          <w:sz w:val="21"/>
          <w:szCs w:val="21"/>
          <w:i/>
        </w:rPr>
        <w:t xml:space="preserve">"Alex, great job yesterday!"</w:t>
      </w:r>
    </w:p>
    <w:p>
      <w:pPr>
        <w:spacing w:after="80"/>
      </w:pPr>
      <w:r>
        <w:rPr>
          <w:sz w:val="19"/>
          <w:szCs w:val="19"/>
          <w:color w:val="6B7076"/>
          <w:i/>
        </w:rPr>
        <w:t xml:space="preserve">Alex: "Oh — thanks." (shrugs, goes back to typing)</w:t>
      </w:r>
    </w:p>
    <w:tbl>
      <w:tblPr>
        <w:tblW w:w="0" w:type="auto"/>
        <w:tblBorders>
          <w:top w:val="single" w:sz="4" w:space="0" w:color="E3E5E8"/>
          <w:left w:val="single" w:sz="4" w:space="0" w:color="E3E5E8"/>
          <w:bottom w:val="single" w:sz="4" w:space="0" w:color="E3E5E8"/>
          <w:right w:val="single" w:sz="4" w:space="0" w:color="E3E5E8"/>
        </w:tblBorders>
        <w:tblCellMar>
          <w:top w:w="140" w:type="dxa"/>
          <w:left w:w="160" w:type="dxa"/>
          <w:bottom w:w="140" w:type="dxa"/>
          <w:right w:w="160" w:type="dxa"/>
        </w:tblCellMar>
      </w:tblPr>
      <w:tblGrid>
        <w:gridCol w:w="9000"/>
      </w:tblGrid>
      <w:tr>
        <w:tc>
          <w:tcPr>
            <w:tcW w:w="9000" w:type="dxa"/>
            <w:shd w:val="clear" w:color="auto" w:fill="F1F2F4"/>
          </w:tcPr>
          <w:p>
            <w:pPr>
              <w:spacing w:after="0"/>
            </w:pPr>
            <w:r>
              <w:rPr>
                <w:sz w:val="19"/>
                <w:szCs w:val="19"/>
                <w:color w:val="33353A"/>
              </w:rPr>
              <w:t xml:space="preserve">There’s praise, but it doesn’t say what was valuable — Alex has nothing to take away, and neither of you brings it up again. → Final screen.</w:t>
            </w:r>
          </w:p>
        </w:tc>
      </w:tr>
    </w:tbl>
    <w:p>
      <w:pPr>
        <w:spacing w:after="160"/>
      </w:pPr>
    </w:p>
    <w:p>
      <w:pPr>
        <w:spacing w:after="80"/>
      </w:pPr>
      <w:r>
        <w:rPr>
          <w:sz w:val="19"/>
          <w:szCs w:val="19"/>
          <w:color w:val="8A6D00"/>
          <w:b/>
        </w:rPr>
        <w:t xml:space="preserve">Option B · SBI — recommended</w:t>
      </w:r>
    </w:p>
    <w:p>
      <w:pPr>
        <w:spacing w:after="80"/>
      </w:pPr>
      <w:r>
        <w:rPr>
          <w:sz w:val="21"/>
          <w:szCs w:val="21"/>
          <w:i/>
        </w:rPr>
        <w:t xml:space="preserve">"Alex, yesterday you caught a data error in the client report an hour before the deadline and fixed it without anyone asking — that saved us from sending the client something wrong. Thank you."</w:t>
      </w:r>
    </w:p>
    <w:p>
      <w:pPr>
        <w:spacing w:after="80"/>
      </w:pPr>
      <w:r>
        <w:rPr>
          <w:sz w:val="19"/>
          <w:szCs w:val="19"/>
          <w:color w:val="6B7076"/>
          <w:i/>
        </w:rPr>
        <w:t xml:space="preserve">Reaction: engaged, pleased</w:t>
      </w:r>
    </w:p>
    <w:tbl>
      <w:tblPr>
        <w:tblW w:w="0" w:type="auto"/>
        <w:tblBorders>
          <w:top w:val="single" w:sz="4" w:space="0" w:color="E3E5E8"/>
          <w:left w:val="single" w:sz="4" w:space="0" w:color="E3E5E8"/>
          <w:bottom w:val="single" w:sz="4" w:space="0" w:color="E3E5E8"/>
          <w:right w:val="single" w:sz="4" w:space="0" w:color="E3E5E8"/>
        </w:tblBorders>
        <w:tblCellMar>
          <w:top w:w="140" w:type="dxa"/>
          <w:left w:w="160" w:type="dxa"/>
          <w:bottom w:w="140" w:type="dxa"/>
          <w:right w:w="160" w:type="dxa"/>
        </w:tblCellMar>
      </w:tblPr>
      <w:tblGrid>
        <w:gridCol w:w="9000"/>
      </w:tblGrid>
      <w:tr>
        <w:tc>
          <w:tcPr>
            <w:tcW w:w="9000" w:type="dxa"/>
            <w:shd w:val="clear" w:color="auto" w:fill="F1F2F4"/>
          </w:tcPr>
          <w:p>
            <w:pPr>
              <w:spacing w:after="0"/>
            </w:pPr>
            <w:r>
              <w:rPr>
                <w:sz w:val="19"/>
                <w:szCs w:val="19"/>
                <w:color w:val="33353A"/>
              </w:rPr>
              <w:t xml:space="preserve">Clean SBI: situation, specific action, impact on the client. Feedback like this sticks. → Branch B complication.</w:t>
            </w:r>
          </w:p>
        </w:tc>
      </w:tr>
    </w:tbl>
    <w:p>
      <w:pPr>
        <w:spacing w:after="160"/>
      </w:pPr>
    </w:p>
    <w:p>
      <w:pPr>
        <w:spacing w:after="80"/>
      </w:pPr>
      <w:r>
        <w:rPr>
          <w:sz w:val="19"/>
          <w:szCs w:val="19"/>
          <w:color w:val="33353A"/>
          <w:b/>
        </w:rPr>
        <w:t xml:space="preserve">Option C · undercutting the effort</w:t>
      </w:r>
    </w:p>
    <w:p>
      <w:pPr>
        <w:spacing w:after="80"/>
      </w:pPr>
      <w:r>
        <w:rPr>
          <w:sz w:val="21"/>
          <w:szCs w:val="21"/>
          <w:i/>
        </w:rPr>
        <w:t xml:space="preserve">"Good thing you caught that, it would’ve been bad otherwise."</w:t>
      </w:r>
    </w:p>
    <w:p>
      <w:pPr>
        <w:spacing w:after="80"/>
      </w:pPr>
      <w:r>
        <w:rPr>
          <w:sz w:val="19"/>
          <w:szCs w:val="19"/>
          <w:color w:val="6B7076"/>
          <w:i/>
        </w:rPr>
        <w:t xml:space="preserve">Alex: "...Yeah. Won’t happen again." (a little deflated)</w:t>
      </w:r>
    </w:p>
    <w:tbl>
      <w:tblPr>
        <w:tblW w:w="0" w:type="auto"/>
        <w:tblBorders>
          <w:top w:val="single" w:sz="4" w:space="0" w:color="E3E5E8"/>
          <w:left w:val="single" w:sz="4" w:space="0" w:color="E3E5E8"/>
          <w:bottom w:val="single" w:sz="4" w:space="0" w:color="E3E5E8"/>
          <w:right w:val="single" w:sz="4" w:space="0" w:color="E3E5E8"/>
        </w:tblBorders>
        <w:tblCellMar>
          <w:top w:w="140" w:type="dxa"/>
          <w:left w:w="160" w:type="dxa"/>
          <w:bottom w:w="140" w:type="dxa"/>
          <w:right w:w="160" w:type="dxa"/>
        </w:tblCellMar>
      </w:tblPr>
      <w:tblGrid>
        <w:gridCol w:w="9000"/>
      </w:tblGrid>
      <w:tr>
        <w:tc>
          <w:tcPr>
            <w:tcW w:w="9000" w:type="dxa"/>
            <w:shd w:val="clear" w:color="auto" w:fill="F1F2F4"/>
          </w:tcPr>
          <w:p>
            <w:pPr>
              <w:spacing w:after="0"/>
            </w:pPr>
            <w:r>
              <w:rPr>
                <w:sz w:val="19"/>
                <w:szCs w:val="19"/>
                <w:color w:val="33353A"/>
              </w:rPr>
              <w:t xml:space="preserve">Not overtly critical, but the emphasis shifts to the risk rather than the credit — Alex hears it as a near-miss, not a win. → Final screen.</w:t>
            </w:r>
          </w:p>
        </w:tc>
      </w:tr>
    </w:tbl>
    <w:p>
      <w:pPr>
        <w:spacing w:after="160"/>
      </w:pPr>
    </w:p>
    <w:p>
      <w:pPr>
        <w:spacing w:after="80"/>
      </w:pPr>
      <w:r>
        <w:rPr>
          <w:sz w:val="19"/>
          <w:szCs w:val="19"/>
          <w:color w:val="8A6D00"/>
          <w:b/>
        </w:rPr>
        <w:t xml:space="preserve">Branch B → complication screen</w:t>
      </w:r>
    </w:p>
    <w:p>
      <w:pPr>
        <w:spacing w:after="120"/>
      </w:pPr>
      <w:r>
        <w:rPr>
          <w:sz w:val="21"/>
          <w:szCs w:val="21"/>
        </w:rPr>
        <w:t xml:space="preserve">Alex replies: "Oh, it was nothing, just doing my job."</w:t>
      </w:r>
    </w:p>
    <w:p>
      <w:pPr>
        <w:spacing w:after="280"/>
      </w:pPr>
      <w:r>
        <w:rPr>
          <w:sz w:val="18"/>
          <w:szCs w:val="18"/>
          <w:color w:val="6B7076"/>
          <w:i/>
        </w:rPr>
        <w:t xml:space="preserve">dev note: shown only when choice 1 = B; branches A and C skip straight to the final screen.</w:t>
      </w:r>
    </w:p>
    <w:p>
      <w:pPr>
        <w:pStyle w:val="Heading3"/>
      </w:pPr>
      <w:r>
        <w:t xml:space="preserve">Decision point 2 — how do you respond?</w:t>
      </w:r>
    </w:p>
    <w:p>
      <w:pPr>
        <w:spacing w:after="80"/>
      </w:pPr>
      <w:r>
        <w:rPr>
          <w:sz w:val="19"/>
          <w:szCs w:val="19"/>
          <w:color w:val="33353A"/>
          <w:b/>
        </w:rPr>
        <w:t xml:space="preserve">Option A · let it drop</w:t>
      </w:r>
    </w:p>
    <w:p>
      <w:pPr>
        <w:spacing w:after="80"/>
      </w:pPr>
      <w:r>
        <w:rPr>
          <w:sz w:val="21"/>
          <w:szCs w:val="21"/>
          <w:i/>
        </w:rPr>
        <w:t xml:space="preserve">"Well, thanks anyway."</w:t>
      </w:r>
    </w:p>
    <w:p>
      <w:pPr>
        <w:spacing w:after="80"/>
      </w:pPr>
      <w:r>
        <w:rPr>
          <w:sz w:val="19"/>
          <w:szCs w:val="19"/>
          <w:color w:val="6B7076"/>
          <w:i/>
        </w:rPr>
        <w:t xml:space="preserve">Alex: "Yeah, no problem." (the moment closes)</w:t>
      </w:r>
    </w:p>
    <w:tbl>
      <w:tblPr>
        <w:tblW w:w="0" w:type="auto"/>
        <w:tblBorders>
          <w:top w:val="single" w:sz="4" w:space="0" w:color="E3E5E8"/>
          <w:left w:val="single" w:sz="4" w:space="0" w:color="E3E5E8"/>
          <w:bottom w:val="single" w:sz="4" w:space="0" w:color="E3E5E8"/>
          <w:right w:val="single" w:sz="4" w:space="0" w:color="E3E5E8"/>
        </w:tblBorders>
        <w:tblCellMar>
          <w:top w:w="140" w:type="dxa"/>
          <w:left w:w="160" w:type="dxa"/>
          <w:bottom w:w="140" w:type="dxa"/>
          <w:right w:w="160" w:type="dxa"/>
        </w:tblCellMar>
      </w:tblPr>
      <w:tblGrid>
        <w:gridCol w:w="9000"/>
      </w:tblGrid>
      <w:tr>
        <w:tc>
          <w:tcPr>
            <w:tcW w:w="9000" w:type="dxa"/>
            <w:shd w:val="clear" w:color="auto" w:fill="F1F2F4"/>
          </w:tcPr>
          <w:p>
            <w:pPr>
              <w:spacing w:after="0"/>
            </w:pPr>
            <w:r>
              <w:rPr>
                <w:sz w:val="19"/>
                <w:szCs w:val="19"/>
                <w:color w:val="33353A"/>
              </w:rPr>
              <w:t xml:space="preserve">A valid response, but it misses the chance to reinforce the recognition. → Final screen.</w:t>
            </w:r>
          </w:p>
        </w:tc>
      </w:tr>
    </w:tbl>
    <w:p>
      <w:pPr>
        <w:spacing w:after="160"/>
      </w:pPr>
    </w:p>
    <w:p>
      <w:pPr>
        <w:spacing w:after="80"/>
      </w:pPr>
      <w:r>
        <w:rPr>
          <w:sz w:val="19"/>
          <w:szCs w:val="19"/>
          <w:color w:val="8A6D00"/>
          <w:b/>
        </w:rPr>
        <w:t xml:space="preserve">Option B · hold the specifics</w:t>
      </w:r>
    </w:p>
    <w:p>
      <w:pPr>
        <w:spacing w:after="80"/>
      </w:pPr>
      <w:r>
        <w:rPr>
          <w:sz w:val="21"/>
          <w:szCs w:val="21"/>
          <w:i/>
        </w:rPr>
        <w:t xml:space="preserve">"That’s exactly why it matters — a lot of people would’ve let it slide until morning. You chose not to, and that’s worth noticing."</w:t>
      </w:r>
    </w:p>
    <w:p>
      <w:pPr>
        <w:spacing w:after="80"/>
      </w:pPr>
      <w:r>
        <w:rPr>
          <w:sz w:val="19"/>
          <w:szCs w:val="19"/>
          <w:color w:val="6B7076"/>
          <w:i/>
        </w:rPr>
        <w:t xml:space="preserve">Alex: "Huh. I guess I didn’t think of it that way." (sits with it for a second, half-smiles)</w:t>
      </w:r>
    </w:p>
    <w:tbl>
      <w:tblPr>
        <w:tblW w:w="0" w:type="auto"/>
        <w:tblBorders>
          <w:top w:val="single" w:sz="4" w:space="0" w:color="E3E5E8"/>
          <w:left w:val="single" w:sz="4" w:space="0" w:color="E3E5E8"/>
          <w:bottom w:val="single" w:sz="4" w:space="0" w:color="E3E5E8"/>
          <w:right w:val="single" w:sz="4" w:space="0" w:color="E3E5E8"/>
        </w:tblBorders>
        <w:tblCellMar>
          <w:top w:w="140" w:type="dxa"/>
          <w:left w:w="160" w:type="dxa"/>
          <w:bottom w:w="140" w:type="dxa"/>
          <w:right w:w="160" w:type="dxa"/>
        </w:tblCellMar>
      </w:tblPr>
      <w:tblGrid>
        <w:gridCol w:w="9000"/>
      </w:tblGrid>
      <w:tr>
        <w:tc>
          <w:tcPr>
            <w:tcW w:w="9000" w:type="dxa"/>
            <w:shd w:val="clear" w:color="auto" w:fill="F1F2F4"/>
          </w:tcPr>
          <w:p>
            <w:pPr>
              <w:spacing w:after="0"/>
            </w:pPr>
            <w:r>
              <w:rPr>
                <w:sz w:val="19"/>
                <w:szCs w:val="19"/>
                <w:color w:val="33353A"/>
              </w:rPr>
              <w:t xml:space="preserve">Employees often deflect praise — that’s normal. A good manager doesn’t go along with the deflection, and gently holds onto the specifics. → Decision point 3.</w:t>
            </w:r>
          </w:p>
        </w:tc>
      </w:tr>
    </w:tbl>
    <w:p>
      <w:pPr>
        <w:spacing w:after="160"/>
      </w:pPr>
    </w:p>
    <w:p>
      <w:pPr>
        <w:pStyle w:val="Heading3"/>
      </w:pPr>
      <w:r>
        <w:t xml:space="preserve">Decision point 3 — Alex is listening. Do you leave it there?</w:t>
      </w:r>
    </w:p>
    <w:p>
      <w:pPr>
        <w:spacing w:after="80"/>
      </w:pPr>
      <w:r>
        <w:rPr>
          <w:sz w:val="19"/>
          <w:szCs w:val="19"/>
          <w:color w:val="33353A"/>
          <w:b/>
        </w:rPr>
        <w:t xml:space="preserve">Option A · nothing more</w:t>
      </w:r>
    </w:p>
    <w:p>
      <w:pPr>
        <w:spacing w:after="80"/>
      </w:pPr>
      <w:r>
        <w:rPr>
          <w:sz w:val="21"/>
          <w:szCs w:val="21"/>
          <w:i/>
        </w:rPr>
        <w:t xml:space="preserve">You nod and let the moment stand.</w:t>
      </w:r>
    </w:p>
    <w:p>
      <w:pPr>
        <w:spacing w:after="80"/>
      </w:pPr>
      <w:r>
        <w:rPr>
          <w:sz w:val="19"/>
          <w:szCs w:val="19"/>
          <w:color w:val="6B7076"/>
          <w:i/>
        </w:rPr>
        <w:t xml:space="preserve">Alex: "Thanks, [Manager]." (gets back to work, looking a little more upright)</w:t>
      </w:r>
    </w:p>
    <w:tbl>
      <w:tblPr>
        <w:tblW w:w="0" w:type="auto"/>
        <w:tblBorders>
          <w:top w:val="single" w:sz="4" w:space="0" w:color="E3E5E8"/>
          <w:left w:val="single" w:sz="4" w:space="0" w:color="E3E5E8"/>
          <w:bottom w:val="single" w:sz="4" w:space="0" w:color="E3E5E8"/>
          <w:right w:val="single" w:sz="4" w:space="0" w:color="E3E5E8"/>
        </w:tblBorders>
        <w:tblCellMar>
          <w:top w:w="140" w:type="dxa"/>
          <w:left w:w="160" w:type="dxa"/>
          <w:bottom w:w="140" w:type="dxa"/>
          <w:right w:w="160" w:type="dxa"/>
        </w:tblCellMar>
      </w:tblPr>
      <w:tblGrid>
        <w:gridCol w:w="9000"/>
      </w:tblGrid>
      <w:tr>
        <w:tc>
          <w:tcPr>
            <w:tcW w:w="9000" w:type="dxa"/>
            <w:shd w:val="clear" w:color="auto" w:fill="F1F2F4"/>
          </w:tcPr>
          <w:p>
            <w:pPr>
              <w:spacing w:after="0"/>
            </w:pPr>
            <w:r>
              <w:rPr>
                <w:sz w:val="19"/>
                <w:szCs w:val="19"/>
                <w:color w:val="33353A"/>
              </w:rPr>
              <w:t xml:space="preserve">A complete, solid ending — the recognition already landed in decision point 2. → Final screen.</w:t>
            </w:r>
          </w:p>
        </w:tc>
      </w:tr>
    </w:tbl>
    <w:p>
      <w:pPr>
        <w:spacing w:after="160"/>
      </w:pPr>
    </w:p>
    <w:p>
      <w:pPr>
        <w:spacing w:after="80"/>
      </w:pPr>
      <w:r>
        <w:rPr>
          <w:sz w:val="19"/>
          <w:szCs w:val="19"/>
          <w:color w:val="8A6D00"/>
          <w:b/>
        </w:rPr>
        <w:t xml:space="preserve">Option B · add a forward-looking line</w:t>
      </w:r>
    </w:p>
    <w:p>
      <w:pPr>
        <w:spacing w:after="80"/>
      </w:pPr>
      <w:r>
        <w:rPr>
          <w:sz w:val="21"/>
          <w:szCs w:val="21"/>
          <w:i/>
        </w:rPr>
        <w:t xml:space="preserve">"And next time you catch something like this — tell me right away. I want you to get credit for it, not just quietly fix it and move on."</w:t>
      </w:r>
    </w:p>
    <w:p>
      <w:pPr>
        <w:spacing w:after="80"/>
      </w:pPr>
      <w:r>
        <w:rPr>
          <w:sz w:val="19"/>
          <w:szCs w:val="19"/>
          <w:color w:val="6B7076"/>
          <w:i/>
        </w:rPr>
        <w:t xml:space="preserve">Alex: "Okay — yeah, I will." (sounds like they mean it)</w:t>
      </w:r>
    </w:p>
    <w:tbl>
      <w:tblPr>
        <w:tblW w:w="0" w:type="auto"/>
        <w:tblBorders>
          <w:top w:val="single" w:sz="4" w:space="0" w:color="E3E5E8"/>
          <w:left w:val="single" w:sz="4" w:space="0" w:color="E3E5E8"/>
          <w:bottom w:val="single" w:sz="4" w:space="0" w:color="E3E5E8"/>
          <w:right w:val="single" w:sz="4" w:space="0" w:color="E3E5E8"/>
        </w:tblBorders>
        <w:tblCellMar>
          <w:top w:w="140" w:type="dxa"/>
          <w:left w:w="160" w:type="dxa"/>
          <w:bottom w:w="140" w:type="dxa"/>
          <w:right w:w="160" w:type="dxa"/>
        </w:tblCellMar>
      </w:tblPr>
      <w:tblGrid>
        <w:gridCol w:w="9000"/>
      </w:tblGrid>
      <w:tr>
        <w:tc>
          <w:tcPr>
            <w:tcW w:w="9000" w:type="dxa"/>
            <w:shd w:val="clear" w:color="auto" w:fill="F1F2F4"/>
          </w:tcPr>
          <w:p>
            <w:pPr>
              <w:spacing w:after="0"/>
            </w:pPr>
            <w:r>
              <w:rPr>
                <w:sz w:val="19"/>
                <w:szCs w:val="19"/>
                <w:color w:val="33353A"/>
              </w:rPr>
              <w:t xml:space="preserve">Turns a one-off thank-you into a standing expectation — the strongest ending on this branch. → Final screen.</w:t>
            </w:r>
          </w:p>
        </w:tc>
      </w:tr>
    </w:tbl>
    <w:p>
      <w:pPr>
        <w:spacing w:after="160"/>
      </w:pPr>
    </w:p>
    <w:p>
      <w:pPr>
        <w:pStyle w:val="Heading3"/>
      </w:pPr>
      <w:r>
        <w:t xml:space="preserve">Final screen</w:t>
      </w:r>
    </w:p>
    <w:p>
      <w:pPr>
        <w:spacing w:after="120"/>
      </w:pPr>
      <w:r>
        <w:rPr>
          <w:sz w:val="22"/>
          <w:szCs w:val="22"/>
          <w:b/>
        </w:rPr>
        <w:t xml:space="preserve">Recognition works when it’s specific.</w:t>
      </w:r>
    </w:p>
    <w:p>
      <w:pPr>
        <w:spacing w:after="100"/>
      </w:pPr>
      <w:r>
        <w:rPr>
          <w:sz w:val="21"/>
          <w:szCs w:val="21"/>
        </w:rPr>
        <w:t xml:space="preserve">Situation. Behavior. Impact. Say what happened, what they did, and why it mattered.</w:t>
      </w:r>
    </w:p>
    <w:p>
      <w:pPr>
        <w:spacing w:after="280"/>
      </w:pPr>
      <w:r>
        <w:rPr>
          <w:sz w:val="21"/>
          <w:szCs w:val="21"/>
        </w:rPr>
        <w:t xml:space="preserve">See you in a week for the next situation.</w:t>
      </w:r>
    </w:p>
    <w:p>
      <w:pPr>
        <w:spacing w:after="280"/>
      </w:pPr>
      <w:r>
        <w:rPr>
          <w:sz w:val="18"/>
          <w:szCs w:val="18"/>
          <w:color w:val="6B7076"/>
          <w:i/>
        </w:rPr>
        <w:t xml:space="preserve">dev note: one shared final scene regardless of the branch taken; closes the SCORM object and records completion.</w:t>
      </w:r>
    </w:p>
    <w:p>
      <w:pPr>
        <w:spacing w:after="280"/>
      </w:pPr>
      <w:r>
        <w:rPr>
          <w:b/>
          <w:sz w:val="19"/>
          <w:szCs w:val="19"/>
        </w:rPr>
        <w:t xml:space="preserve">A</w:t>
      </w:r>
      <w:r>
        <w:rPr>
          <w:color w:val="6B7076"/>
          <w:sz w:val="19"/>
          <w:szCs w:val="19"/>
        </w:rPr>
        <w:t xml:space="preserve"> — generic / neutral answer     </w:t>
      </w:r>
      <w:r>
        <w:rPr>
          <w:b/>
          <w:color w:val="8A6D00"/>
          <w:sz w:val="19"/>
          <w:szCs w:val="19"/>
        </w:rPr>
        <w:t xml:space="preserve">B</w:t>
      </w:r>
      <w:r>
        <w:rPr>
          <w:color w:val="6B7076"/>
          <w:sz w:val="19"/>
          <w:szCs w:val="19"/>
        </w:rPr>
        <w:t xml:space="preserve"> — recommended answer (SBI)     </w:t>
      </w:r>
      <w:r>
        <w:rPr>
          <w:b/>
          <w:sz w:val="19"/>
          <w:szCs w:val="19"/>
        </w:rPr>
        <w:t xml:space="preserve">C</w:t>
      </w:r>
      <w:r>
        <w:rPr>
          <w:color w:val="6B7076"/>
          <w:sz w:val="19"/>
          <w:szCs w:val="19"/>
        </w:rPr>
        <w:t xml:space="preserve"> — undercutting / devaluing</w:t>
      </w:r>
    </w:p>
    <w:p>
      <w:pPr>
        <w:spacing w:after="0"/>
      </w:pPr>
      <w:r>
        <w:rPr>
          <w:sz w:val="16"/>
          <w:szCs w:val="16"/>
          <w:color w:val="9BA0A6"/>
        </w:rPr>
        <w:t xml:space="preserve">Busy Capybara — instructional design storyboard — demo content, v1</w:t>
      </w:r>
    </w:p>
    <w:sectPr>
      <w:pgSz w:w="12240" w:h="15840"/>
      <w:pgMar w:top="1080" w:right="1080" w:bottom="1080" w:left="108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0">
    <w:lvl w:ilvl="0">
      <w:numFmt w:val="bullet"/>
      <w:lvlText w:val="–"/>
      <w:pPr>
        <w:ind w:left="420" w:hanging="240"/>
      </w:pPr>
    </w:lvl>
  </w:abstractNum>
  <w:num w:numId="1">
    <w:abstractNumId w:val="0"/>
  </w:num>
</w:numbering>
</file>

<file path=word/styles.xml><?xml version="1.0" encoding="utf-8"?>
<w:styles xmlns:w="http://schemas.openxmlformats.org/wordprocessingml/2006/main">
  <w:docDefaults>
    <w:rPrDefault>
      <w:rPr>
        <w:rFonts w:ascii="IBM Plex Sans" w:hAnsi="IBM Plex Sans" w:cs="IBM Plex Sans"/>
        <w:sz w:val="21"/>
        <w:szCs w:val="21"/>
        <w:color w:val="1A1B1E"/>
      </w:rPr>
    </w:rPrDefault>
  </w:docDefaults>
  <w:style w:type="paragraph" w:default="1" w:styleId="Normal">
    <w:name w:val="Normal"/>
  </w:style>
  <w:style w:type="paragraph" w:styleId="Heading1">
    <w:name w:val="heading 1"/>
    <w:basedOn w:val="Normal"/>
    <w:pPr>
      <w:spacing w:before="0" w:after="240"/>
    </w:pPr>
    <w:rPr>
      <w:rFonts w:ascii="Space Grotesk" w:hAnsi="Space Grotesk"/>
      <w:b/>
      <w:sz w:val="44"/>
      <w:szCs w:val="44"/>
      <w:color w:val="1A1B1E"/>
    </w:rPr>
  </w:style>
  <w:style w:type="paragraph" w:styleId="Heading2">
    <w:name w:val="heading 2"/>
    <w:basedOn w:val="Normal"/>
    <w:pPr>
      <w:spacing w:before="360" w:after="160"/>
    </w:pPr>
    <w:rPr>
      <w:rFonts w:ascii="Space Grotesk" w:hAnsi="Space Grotesk"/>
      <w:b/>
      <w:sz w:val="32"/>
      <w:szCs w:val="32"/>
      <w:color w:val="1A1B1E"/>
    </w:rPr>
  </w:style>
  <w:style w:type="paragraph" w:styleId="Heading3">
    <w:name w:val="heading 3"/>
    <w:basedOn w:val="Normal"/>
    <w:pPr>
      <w:spacing w:before="240" w:after="120"/>
    </w:pPr>
    <w:rPr>
      <w:rFonts w:ascii="Space Grotesk" w:hAnsi="Space Grotesk"/>
      <w:b/>
      <w:sz w:val="25"/>
      <w:szCs w:val="25"/>
      <w:color w:val="1A1B1E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/Relationships>
</file>

<file path=docProps/app.xml><?xml version="1.0" encoding="utf-8"?>
<Properties xmlns="http://schemas.openxmlformats.org/officeDocument/2006/extended-properties">
  <Application>Busy Capybara</Application>
</Properties>
</file>

<file path=docProps/core.xml><?xml version="1.0" encoding="UTF-8" standalone="yes"?>
<cp:coreProperties xmlns:cp="http://schemas.openxmlformats.org/package/2006/metadata/core-properties" xmlns:dc="http://purl.org/dc/elements/1.1/">
<dc:title>Recognition & feedback culture — storyboard</dc:title>
<dc:creator>Busy Capybara</dc:creator>
</cp:coreProperties>
</file>